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Regulation (OHSR)</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 </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Regulation (OHSR)</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6oQkYQ2n+gRj+lwVaBQG6qTDkw==">CgMxLjAyCGguZ2pkZ3hzOAByITE1Wnp0VkR5eVQwVEJjOWdXYzVneUk3RXFuYkJGSjdmMw==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